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07FF" w14:textId="06603DDB" w:rsidR="00B872AA" w:rsidRPr="00B872AA" w:rsidRDefault="00B872AA" w:rsidP="00B872AA">
      <w:pPr>
        <w:pBdr>
          <w:bottom w:val="single" w:sz="4" w:space="1" w:color="auto"/>
        </w:pBdr>
        <w:rPr>
          <w:b/>
        </w:rPr>
      </w:pPr>
      <w:r w:rsidRPr="00B872AA">
        <w:rPr>
          <w:b/>
        </w:rPr>
        <w:t xml:space="preserve">PRIDE Fund – </w:t>
      </w:r>
      <w:r w:rsidR="00077D4B">
        <w:rPr>
          <w:b/>
        </w:rPr>
        <w:t>Budget</w:t>
      </w:r>
      <w:r w:rsidR="001D183B">
        <w:rPr>
          <w:b/>
        </w:rPr>
        <w:t xml:space="preserve"> Template</w:t>
      </w:r>
    </w:p>
    <w:p w14:paraId="44EA3B36" w14:textId="77777777" w:rsidR="00743287" w:rsidRDefault="00743287" w:rsidP="00743287">
      <w:pPr>
        <w:ind w:firstLine="720"/>
      </w:pPr>
      <w:r w:rsidRPr="00743287">
        <w:rPr>
          <w:b/>
        </w:rPr>
        <w:t>Budget Justification</w:t>
      </w:r>
      <w:r>
        <w:t xml:space="preserve"> (&lt; 500 words) </w:t>
      </w:r>
    </w:p>
    <w:p w14:paraId="68EE604E" w14:textId="77777777" w:rsidR="00743287" w:rsidRDefault="00743287" w:rsidP="00743287">
      <w:pPr>
        <w:pStyle w:val="ListParagraph"/>
        <w:ind w:left="1440"/>
      </w:pPr>
    </w:p>
    <w:p w14:paraId="1BF17A70" w14:textId="77777777" w:rsidR="00743287" w:rsidRDefault="00743287" w:rsidP="00743287">
      <w:pPr>
        <w:pStyle w:val="ListParagraph"/>
        <w:numPr>
          <w:ilvl w:val="0"/>
          <w:numId w:val="4"/>
        </w:numPr>
      </w:pPr>
      <w:r w:rsidRPr="008C287D">
        <w:t>Use this space to describe briefly the role and responsibilities of all key personnel. Provid</w:t>
      </w:r>
      <w:r>
        <w:t>e a detailed explanation for each</w:t>
      </w:r>
      <w:r w:rsidRPr="008C287D">
        <w:t xml:space="preserve"> budget items as it relates to the proposed project.</w:t>
      </w:r>
      <w:r>
        <w:t xml:space="preserve"> Indicate any other sources of funding</w:t>
      </w:r>
      <w:r w:rsidRPr="008C287D">
        <w:t xml:space="preserve"> </w:t>
      </w:r>
      <w:r>
        <w:t xml:space="preserve">that will </w:t>
      </w:r>
      <w:r w:rsidRPr="008C287D">
        <w:t>be applied towar</w:t>
      </w:r>
      <w:r>
        <w:t xml:space="preserve">d completion of the project. </w:t>
      </w:r>
    </w:p>
    <w:p w14:paraId="19F2D5F5" w14:textId="77777777" w:rsidR="00743287" w:rsidRPr="00743287" w:rsidRDefault="00743287" w:rsidP="00743287">
      <w:pPr>
        <w:pStyle w:val="ListParagraph"/>
        <w:numPr>
          <w:ilvl w:val="0"/>
          <w:numId w:val="4"/>
        </w:numPr>
      </w:pPr>
      <w:r w:rsidRPr="00743287">
        <w:rPr>
          <w:i/>
          <w:iCs/>
        </w:rPr>
        <w:t xml:space="preserve">Example: Principal Investigator / Project Director (PI/ PD): The PI, </w:t>
      </w:r>
      <w:r w:rsidRPr="00743287">
        <w:rPr>
          <w:i/>
          <w:iCs/>
          <w:shd w:val="clear" w:color="auto" w:fill="FFFF00"/>
        </w:rPr>
        <w:t>XXX</w:t>
      </w:r>
      <w:r w:rsidRPr="00743287">
        <w:rPr>
          <w:i/>
          <w:iCs/>
        </w:rPr>
        <w:t xml:space="preserve">, will be responsible for project implementation, management of the activities and timeline. PI/PD will provide oversight for daily operations to ensure successful program implementation and supervision for faculty/ staff/ student employee(s). </w:t>
      </w:r>
      <w:r w:rsidRPr="00743287">
        <w:rPr>
          <w:i/>
          <w:iCs/>
          <w:shd w:val="clear" w:color="auto" w:fill="FFFF00"/>
        </w:rPr>
        <w:t>XXX</w:t>
      </w:r>
      <w:r w:rsidRPr="00743287">
        <w:rPr>
          <w:i/>
          <w:iCs/>
        </w:rPr>
        <w:t xml:space="preserve"> will be responsible for adherence to award terms and reporting in coordination with LU’s Office for Research &amp; Compliance, Fiscal Affairs, and HR. PI/PD will commit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 xml:space="preserve"> academic months/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 xml:space="preserve"> summer months/ or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 xml:space="preserve"> calendar months [based on % committed to the project] for the </w:t>
      </w:r>
      <w:r w:rsidRPr="00743287">
        <w:rPr>
          <w:i/>
          <w:iCs/>
          <w:shd w:val="clear" w:color="auto" w:fill="FFFF00"/>
        </w:rPr>
        <w:t>X</w:t>
      </w:r>
      <w:r w:rsidRPr="00743287">
        <w:rPr>
          <w:i/>
          <w:iCs/>
        </w:rPr>
        <w:t>-month project period.</w:t>
      </w:r>
    </w:p>
    <w:p w14:paraId="1406E57C" w14:textId="77777777" w:rsidR="00743287" w:rsidRDefault="00743287" w:rsidP="00743287">
      <w:pPr>
        <w:pStyle w:val="ListParagraph"/>
        <w:ind w:left="2160"/>
      </w:pPr>
    </w:p>
    <w:p w14:paraId="679E727A" w14:textId="77777777" w:rsidR="00743287" w:rsidRDefault="00743287" w:rsidP="00743287">
      <w:pPr>
        <w:pStyle w:val="ListParagraph"/>
        <w:ind w:left="2160"/>
      </w:pPr>
    </w:p>
    <w:p w14:paraId="449AA782" w14:textId="77777777" w:rsidR="00743287" w:rsidRDefault="00743287" w:rsidP="00743287">
      <w:pPr>
        <w:pStyle w:val="ListParagraph"/>
        <w:ind w:left="2160"/>
      </w:pPr>
    </w:p>
    <w:p w14:paraId="7C19035C" w14:textId="77777777" w:rsidR="00743287" w:rsidRDefault="00743287" w:rsidP="00743287">
      <w:pPr>
        <w:pStyle w:val="ListParagraph"/>
        <w:ind w:left="2160"/>
      </w:pPr>
    </w:p>
    <w:p w14:paraId="66A2D828" w14:textId="77777777" w:rsidR="00743287" w:rsidRDefault="00743287" w:rsidP="00743287">
      <w:pPr>
        <w:pStyle w:val="ListParagraph"/>
        <w:ind w:left="2160"/>
      </w:pPr>
    </w:p>
    <w:p w14:paraId="104B5A90" w14:textId="77777777" w:rsidR="00743287" w:rsidRDefault="00743287" w:rsidP="00743287">
      <w:pPr>
        <w:pStyle w:val="ListParagraph"/>
        <w:ind w:left="2160"/>
      </w:pPr>
    </w:p>
    <w:p w14:paraId="35DE0C99" w14:textId="77777777" w:rsidR="00743287" w:rsidRDefault="00743287" w:rsidP="00743287">
      <w:pPr>
        <w:pStyle w:val="ListParagraph"/>
        <w:ind w:left="2160"/>
      </w:pPr>
    </w:p>
    <w:p w14:paraId="22960B99" w14:textId="77777777" w:rsidR="00743287" w:rsidRDefault="00743287" w:rsidP="00743287">
      <w:pPr>
        <w:pStyle w:val="ListParagraph"/>
        <w:ind w:left="2160"/>
      </w:pPr>
    </w:p>
    <w:p w14:paraId="7147A107" w14:textId="77777777" w:rsidR="00743287" w:rsidRDefault="00743287" w:rsidP="00743287">
      <w:pPr>
        <w:pStyle w:val="ListParagraph"/>
        <w:ind w:left="2160"/>
      </w:pPr>
    </w:p>
    <w:p w14:paraId="63F98F70" w14:textId="77777777" w:rsidR="00743287" w:rsidRDefault="00743287" w:rsidP="00743287">
      <w:pPr>
        <w:pStyle w:val="ListParagraph"/>
        <w:ind w:left="2160"/>
      </w:pPr>
    </w:p>
    <w:p w14:paraId="7800AC4D" w14:textId="77777777" w:rsidR="00743287" w:rsidRDefault="00743287" w:rsidP="00743287">
      <w:pPr>
        <w:pStyle w:val="ListParagraph"/>
        <w:ind w:left="2160"/>
      </w:pPr>
    </w:p>
    <w:p w14:paraId="4CDF0666" w14:textId="77777777" w:rsidR="00743287" w:rsidRDefault="00743287" w:rsidP="00743287">
      <w:pPr>
        <w:pStyle w:val="ListParagraph"/>
        <w:ind w:left="2160"/>
      </w:pPr>
    </w:p>
    <w:p w14:paraId="23055DC9" w14:textId="77777777" w:rsidR="00743287" w:rsidRDefault="00743287" w:rsidP="00743287">
      <w:pPr>
        <w:pStyle w:val="ListParagraph"/>
        <w:ind w:left="2160"/>
      </w:pPr>
    </w:p>
    <w:p w14:paraId="1FEB9C9F" w14:textId="77777777" w:rsidR="00743287" w:rsidRDefault="00743287" w:rsidP="00743287">
      <w:pPr>
        <w:pStyle w:val="ListParagraph"/>
        <w:ind w:left="2160"/>
      </w:pPr>
    </w:p>
    <w:p w14:paraId="2CE446DF" w14:textId="77777777" w:rsidR="00743287" w:rsidRDefault="00743287" w:rsidP="00743287">
      <w:pPr>
        <w:pStyle w:val="ListParagraph"/>
        <w:ind w:left="2160"/>
      </w:pPr>
    </w:p>
    <w:p w14:paraId="4C7F9AF3" w14:textId="77777777" w:rsidR="00743287" w:rsidRDefault="00743287" w:rsidP="00743287">
      <w:pPr>
        <w:pStyle w:val="ListParagraph"/>
        <w:ind w:left="2160"/>
      </w:pPr>
    </w:p>
    <w:p w14:paraId="5668301F" w14:textId="77777777" w:rsidR="00743287" w:rsidRDefault="00743287" w:rsidP="00743287">
      <w:pPr>
        <w:pStyle w:val="ListParagraph"/>
        <w:ind w:left="2160"/>
      </w:pPr>
    </w:p>
    <w:p w14:paraId="760AF8EA" w14:textId="77777777" w:rsidR="00743287" w:rsidRDefault="00743287" w:rsidP="00743287">
      <w:pPr>
        <w:pStyle w:val="ListParagraph"/>
        <w:ind w:left="2160"/>
      </w:pPr>
    </w:p>
    <w:p w14:paraId="1DFC192E" w14:textId="77777777" w:rsidR="00743287" w:rsidRDefault="00743287" w:rsidP="00743287">
      <w:pPr>
        <w:pStyle w:val="ListParagraph"/>
        <w:ind w:left="2160"/>
      </w:pPr>
    </w:p>
    <w:p w14:paraId="6B5EAA0A" w14:textId="77777777" w:rsidR="00743287" w:rsidRDefault="00743287" w:rsidP="00743287">
      <w:pPr>
        <w:pStyle w:val="ListParagraph"/>
        <w:ind w:left="2160"/>
      </w:pPr>
    </w:p>
    <w:p w14:paraId="29AE218B" w14:textId="77777777" w:rsidR="00743287" w:rsidRDefault="00743287" w:rsidP="00743287">
      <w:pPr>
        <w:pStyle w:val="ListParagraph"/>
        <w:ind w:left="2160"/>
      </w:pPr>
    </w:p>
    <w:p w14:paraId="18499828" w14:textId="77777777" w:rsidR="00743287" w:rsidRDefault="00743287" w:rsidP="00743287">
      <w:pPr>
        <w:pStyle w:val="ListParagraph"/>
        <w:ind w:left="2160"/>
      </w:pPr>
    </w:p>
    <w:p w14:paraId="5A5EF505" w14:textId="77777777" w:rsidR="00743287" w:rsidRDefault="00743287" w:rsidP="00743287">
      <w:pPr>
        <w:pStyle w:val="ListParagraph"/>
        <w:ind w:left="2160"/>
      </w:pPr>
    </w:p>
    <w:p w14:paraId="07EAAD64" w14:textId="77777777" w:rsidR="00743287" w:rsidRDefault="00743287" w:rsidP="00743287">
      <w:pPr>
        <w:pStyle w:val="ListParagraph"/>
        <w:ind w:left="2160"/>
      </w:pPr>
    </w:p>
    <w:p w14:paraId="510A905F" w14:textId="77777777" w:rsidR="00743287" w:rsidRDefault="00743287" w:rsidP="00743287">
      <w:pPr>
        <w:pStyle w:val="ListParagraph"/>
        <w:ind w:left="2160"/>
      </w:pPr>
    </w:p>
    <w:p w14:paraId="1D516B73" w14:textId="77777777" w:rsidR="00743287" w:rsidRDefault="00743287" w:rsidP="00743287">
      <w:pPr>
        <w:pStyle w:val="ListParagraph"/>
        <w:ind w:left="2160"/>
      </w:pPr>
    </w:p>
    <w:p w14:paraId="5793D392" w14:textId="77777777" w:rsidR="00743287" w:rsidRDefault="00743287" w:rsidP="00743287">
      <w:pPr>
        <w:pStyle w:val="ListParagraph"/>
        <w:ind w:left="2160"/>
      </w:pPr>
    </w:p>
    <w:p w14:paraId="5D287C1A" w14:textId="77777777" w:rsidR="00743287" w:rsidRDefault="00743287" w:rsidP="00743287">
      <w:pPr>
        <w:pStyle w:val="ListParagraph"/>
        <w:ind w:left="2160"/>
      </w:pPr>
    </w:p>
    <w:p w14:paraId="752DD925" w14:textId="77777777" w:rsidR="000D2C54" w:rsidRPr="00743287" w:rsidRDefault="00743287" w:rsidP="00743287">
      <w:pPr>
        <w:rPr>
          <w:b/>
        </w:rPr>
      </w:pPr>
      <w:r w:rsidRPr="00743287">
        <w:rPr>
          <w:b/>
        </w:rPr>
        <w:lastRenderedPageBreak/>
        <w:t xml:space="preserve">Project </w:t>
      </w:r>
      <w:r w:rsidR="000D2C54" w:rsidRPr="00743287">
        <w:rPr>
          <w:b/>
        </w:rPr>
        <w:t>Budget</w:t>
      </w:r>
    </w:p>
    <w:tbl>
      <w:tblPr>
        <w:tblW w:w="9355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295"/>
        <w:gridCol w:w="1060"/>
      </w:tblGrid>
      <w:tr w:rsidR="00743287" w14:paraId="6F379409" w14:textId="77777777" w:rsidTr="0028193B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7AF04943" w14:textId="77777777" w:rsidR="00743287" w:rsidRDefault="00743287" w:rsidP="0028193B">
            <w:pPr>
              <w:spacing w:after="0" w:line="240" w:lineRule="auto"/>
            </w:pPr>
            <w:r>
              <w:rPr>
                <w:b/>
              </w:rPr>
              <w:t>Student Personnel</w:t>
            </w:r>
          </w:p>
        </w:tc>
      </w:tr>
      <w:tr w:rsidR="00743287" w14:paraId="7224B73D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4237117C" w14:textId="77777777" w:rsidR="00743287" w:rsidRDefault="00743287" w:rsidP="0028193B">
            <w:pPr>
              <w:spacing w:after="0" w:line="240" w:lineRule="auto"/>
              <w:ind w:firstLine="335"/>
            </w:pPr>
            <w:r>
              <w:t>Part-time Base Salary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55A69165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BFF003C" w14:textId="77777777" w:rsidTr="0028193B">
        <w:trPr>
          <w:trHeight w:val="287"/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0596A06A" w14:textId="316EDC6F" w:rsidR="00743287" w:rsidRDefault="00743287" w:rsidP="0028193B">
            <w:pPr>
              <w:spacing w:after="0" w:line="240" w:lineRule="auto"/>
              <w:ind w:firstLine="335"/>
            </w:pPr>
            <w:r>
              <w:t xml:space="preserve">Part-time Staff Fringe (FICA = </w:t>
            </w:r>
            <w:r w:rsidRPr="008C287D">
              <w:t>7</w:t>
            </w:r>
            <w:r w:rsidR="00142373">
              <w:t>.</w:t>
            </w:r>
            <w:r w:rsidRPr="008C287D">
              <w:t>65%</w:t>
            </w:r>
            <w:r>
              <w:t>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E94C2B8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7CA2EBFD" w14:textId="77777777" w:rsidTr="0028193B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70B8CD25" w14:textId="77777777" w:rsidR="00743287" w:rsidRDefault="00743287" w:rsidP="0028193B">
            <w:pPr>
              <w:spacing w:after="0" w:line="240" w:lineRule="auto"/>
              <w:rPr>
                <w:color w:val="C00000"/>
              </w:rPr>
            </w:pPr>
            <w:r>
              <w:rPr>
                <w:b/>
              </w:rPr>
              <w:t xml:space="preserve">Travel  </w:t>
            </w:r>
            <w:r>
              <w:rPr>
                <w:b/>
                <w:color w:val="C00000"/>
              </w:rPr>
              <w:tab/>
            </w:r>
          </w:p>
        </w:tc>
      </w:tr>
      <w:tr w:rsidR="00743287" w14:paraId="5078DBC4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11444A51" w14:textId="77777777" w:rsidR="00743287" w:rsidRDefault="00743287" w:rsidP="0028193B">
            <w:pPr>
              <w:spacing w:after="0" w:line="240" w:lineRule="auto"/>
              <w:ind w:firstLine="335"/>
            </w:pPr>
            <w:r>
              <w:t>Airfare (x __ quantity)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3E3AD37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1AFFF6BA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793BE4D" w14:textId="77777777" w:rsidR="00743287" w:rsidRDefault="00743287" w:rsidP="0028193B">
            <w:pPr>
              <w:spacing w:after="0" w:line="240" w:lineRule="auto"/>
              <w:ind w:firstLine="335"/>
            </w:pPr>
            <w:r>
              <w:t>Ground Transportation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9F8707C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6A0415A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8A90174" w14:textId="77777777" w:rsidR="00743287" w:rsidRDefault="00743287" w:rsidP="0028193B">
            <w:pPr>
              <w:spacing w:after="0" w:line="240" w:lineRule="auto"/>
              <w:ind w:firstLine="335"/>
            </w:pPr>
            <w:r>
              <w:t>Lodging (x __ quantity)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36A9AEB6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46B29C7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CF7ED3D" w14:textId="77777777" w:rsidR="00743287" w:rsidRDefault="00743287" w:rsidP="0028193B">
            <w:pPr>
              <w:spacing w:after="0" w:line="240" w:lineRule="auto"/>
              <w:ind w:firstLine="335"/>
            </w:pPr>
            <w:r>
              <w:t>Meals/LU Per Diem (x __ quantity)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E552B4D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9301CFE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E2E740F" w14:textId="77777777" w:rsidR="00743287" w:rsidRDefault="00743287" w:rsidP="0028193B">
            <w:pPr>
              <w:spacing w:after="0" w:line="240" w:lineRule="auto"/>
              <w:ind w:firstLine="335"/>
            </w:pPr>
            <w:r>
              <w:t>Other: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17274934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7A370E48" w14:textId="77777777" w:rsidTr="0028193B">
        <w:trPr>
          <w:trHeight w:val="332"/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D9D9D9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25D51298" w14:textId="77777777" w:rsidR="00743287" w:rsidRPr="000D2C54" w:rsidRDefault="00743287" w:rsidP="0028193B">
            <w:pPr>
              <w:spacing w:after="0" w:line="240" w:lineRule="auto"/>
              <w:rPr>
                <w:b/>
                <w:i/>
                <w:color w:val="7030A0"/>
                <w:sz w:val="20"/>
                <w:szCs w:val="20"/>
              </w:rPr>
            </w:pPr>
            <w:r>
              <w:rPr>
                <w:b/>
              </w:rPr>
              <w:t>Payments to Individuals/Organizations outside LU</w:t>
            </w:r>
          </w:p>
        </w:tc>
      </w:tr>
      <w:tr w:rsidR="00743287" w14:paraId="11CF3CC6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2D2BE1C9" w14:textId="77777777" w:rsidR="00743287" w:rsidRDefault="00743287" w:rsidP="0028193B">
            <w:pPr>
              <w:spacing w:after="0" w:line="240" w:lineRule="auto"/>
              <w:ind w:firstLine="335"/>
            </w:pPr>
            <w:r>
              <w:t>Professional Services</w:t>
            </w:r>
          </w:p>
        </w:tc>
        <w:tc>
          <w:tcPr>
            <w:tcW w:w="1060" w:type="dxa"/>
            <w:tcBorders>
              <w:top w:val="single" w:sz="4" w:space="0" w:color="D9D9D9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78198CA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2F1EE023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565B4508" w14:textId="77777777" w:rsidR="00743287" w:rsidRDefault="00743287" w:rsidP="0028193B">
            <w:pPr>
              <w:spacing w:after="0" w:line="240" w:lineRule="auto"/>
              <w:ind w:firstLine="335"/>
            </w:pPr>
            <w:r>
              <w:t>Consultants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6741A3A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64F0E649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  <w:hideMark/>
          </w:tcPr>
          <w:p w14:paraId="4E8979FA" w14:textId="77777777" w:rsidR="00743287" w:rsidRDefault="00743287" w:rsidP="0028193B">
            <w:pPr>
              <w:spacing w:after="0" w:line="240" w:lineRule="auto"/>
              <w:ind w:firstLine="335"/>
            </w:pPr>
            <w:r>
              <w:t>Subcontracts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14:paraId="0B194ECE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34C0D8A4" w14:textId="77777777" w:rsidTr="0028193B">
        <w:trPr>
          <w:jc w:val="center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hideMark/>
          </w:tcPr>
          <w:p w14:paraId="08BF7A3B" w14:textId="77777777" w:rsidR="00743287" w:rsidRPr="000D2C54" w:rsidRDefault="00743287" w:rsidP="0028193B">
            <w:pPr>
              <w:spacing w:after="0" w:line="240" w:lineRule="auto"/>
            </w:pPr>
            <w:r>
              <w:rPr>
                <w:b/>
              </w:rPr>
              <w:t>Other Expenses</w:t>
            </w:r>
            <w:r>
              <w:t xml:space="preserve">  (add rows as needed)</w:t>
            </w:r>
          </w:p>
        </w:tc>
      </w:tr>
      <w:tr w:rsidR="00743287" w14:paraId="4E94B898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6543CFB0" w14:textId="77777777" w:rsidR="00743287" w:rsidRDefault="00743287" w:rsidP="0028193B">
            <w:pPr>
              <w:spacing w:after="0" w:line="240" w:lineRule="auto"/>
            </w:pPr>
            <w:r>
              <w:t xml:space="preserve">       (</w:t>
            </w:r>
            <w:proofErr w:type="gramStart"/>
            <w:r>
              <w:t>e.g.</w:t>
            </w:r>
            <w:proofErr w:type="gramEnd"/>
            <w:r>
              <w:t xml:space="preserve"> materials, supplies, equipment, subscriptions, etc…)</w:t>
            </w: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583710B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7DDA8C15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3A7A73F7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06BF8EEB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4DAD4641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43D031B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73ACF7D9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64C5863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0B6D005C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6FB38D9B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D3FD5A6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49E7A927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</w:tcPr>
          <w:p w14:paraId="5751192E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5B424B1B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14:paraId="74F41645" w14:textId="77777777" w:rsidR="00743287" w:rsidRDefault="00743287" w:rsidP="0028193B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14:paraId="53075485" w14:textId="77777777" w:rsidR="00743287" w:rsidRDefault="00743287" w:rsidP="0028193B">
            <w:pPr>
              <w:spacing w:after="0" w:line="240" w:lineRule="auto"/>
            </w:pPr>
          </w:p>
        </w:tc>
      </w:tr>
      <w:tr w:rsidR="00743287" w14:paraId="60C3958A" w14:textId="77777777" w:rsidTr="0028193B">
        <w:trPr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BFBFBF"/>
              <w:bottom w:val="single" w:sz="4" w:space="0" w:color="BFBFBF"/>
              <w:right w:val="single" w:sz="4" w:space="0" w:color="auto"/>
            </w:tcBorders>
            <w:hideMark/>
          </w:tcPr>
          <w:p w14:paraId="19482E04" w14:textId="77777777" w:rsidR="00743287" w:rsidRDefault="00743287" w:rsidP="0028193B">
            <w:pPr>
              <w:spacing w:after="0" w:line="240" w:lineRule="auto"/>
              <w:jc w:val="right"/>
            </w:pPr>
            <w:r>
              <w:rPr>
                <w:b/>
              </w:rPr>
              <w:t>TOTAL REQUESTED: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5D1" w14:textId="77777777" w:rsidR="00743287" w:rsidRDefault="00743287" w:rsidP="0028193B">
            <w:pPr>
              <w:spacing w:after="0" w:line="240" w:lineRule="auto"/>
            </w:pPr>
          </w:p>
        </w:tc>
      </w:tr>
    </w:tbl>
    <w:p w14:paraId="4A4CCC30" w14:textId="77777777" w:rsidR="00743287" w:rsidRDefault="00743287" w:rsidP="00743287">
      <w:r>
        <w:t>*See below for Template Instructions</w:t>
      </w:r>
    </w:p>
    <w:p w14:paraId="7F4238CE" w14:textId="77777777" w:rsidR="00743287" w:rsidRDefault="00743287" w:rsidP="00743287"/>
    <w:p w14:paraId="2A8A4234" w14:textId="77777777" w:rsidR="00743287" w:rsidRDefault="00743287" w:rsidP="00743287"/>
    <w:p w14:paraId="151A990A" w14:textId="77777777" w:rsidR="00743287" w:rsidRDefault="00743287" w:rsidP="00743287"/>
    <w:p w14:paraId="386DC76F" w14:textId="77777777" w:rsidR="00743287" w:rsidRDefault="00743287" w:rsidP="00743287"/>
    <w:p w14:paraId="6688CD01" w14:textId="77777777" w:rsidR="00743287" w:rsidRDefault="00743287" w:rsidP="00743287"/>
    <w:p w14:paraId="292D9DD8" w14:textId="77777777" w:rsidR="00743287" w:rsidRDefault="00743287" w:rsidP="00743287"/>
    <w:p w14:paraId="560D3252" w14:textId="77777777" w:rsidR="00743287" w:rsidRDefault="00743287" w:rsidP="00743287"/>
    <w:p w14:paraId="53505F3C" w14:textId="77777777" w:rsidR="00743287" w:rsidRDefault="00743287" w:rsidP="00743287"/>
    <w:p w14:paraId="4D626CC5" w14:textId="77777777" w:rsidR="00743287" w:rsidRDefault="00743287" w:rsidP="00743287"/>
    <w:p w14:paraId="53F39197" w14:textId="77777777" w:rsidR="00743287" w:rsidRDefault="00743287" w:rsidP="00743287"/>
    <w:p w14:paraId="42252765" w14:textId="77777777" w:rsidR="00743287" w:rsidRDefault="00743287" w:rsidP="00743287"/>
    <w:p w14:paraId="266529DB" w14:textId="77777777" w:rsidR="00743287" w:rsidRDefault="00743287" w:rsidP="00743287"/>
    <w:p w14:paraId="12037A12" w14:textId="77777777" w:rsidR="00743287" w:rsidRDefault="00743287" w:rsidP="00743287"/>
    <w:p w14:paraId="2A6ED144" w14:textId="77777777" w:rsidR="00743287" w:rsidRDefault="00743287" w:rsidP="00743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3287" w14:paraId="5CDB8829" w14:textId="77777777" w:rsidTr="0028193B">
        <w:tc>
          <w:tcPr>
            <w:tcW w:w="4675" w:type="dxa"/>
            <w:shd w:val="clear" w:color="auto" w:fill="D0CECE" w:themeFill="background2" w:themeFillShade="E6"/>
          </w:tcPr>
          <w:p w14:paraId="785EF78A" w14:textId="77777777" w:rsidR="00743287" w:rsidRPr="004F5FA1" w:rsidRDefault="00743287" w:rsidP="0028193B">
            <w:pPr>
              <w:rPr>
                <w:b/>
              </w:rPr>
            </w:pPr>
            <w:r w:rsidRPr="004F5FA1">
              <w:rPr>
                <w:b/>
              </w:rPr>
              <w:lastRenderedPageBreak/>
              <w:t>Template Instructions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14:paraId="6E4B612A" w14:textId="77777777" w:rsidR="00743287" w:rsidRPr="004F5FA1" w:rsidRDefault="00743287" w:rsidP="0028193B">
            <w:pPr>
              <w:rPr>
                <w:b/>
              </w:rPr>
            </w:pPr>
            <w:r w:rsidRPr="004F5FA1">
              <w:rPr>
                <w:b/>
              </w:rPr>
              <w:t>Expenses</w:t>
            </w:r>
          </w:p>
        </w:tc>
      </w:tr>
      <w:tr w:rsidR="00743287" w14:paraId="431E4F07" w14:textId="77777777" w:rsidTr="0028193B">
        <w:trPr>
          <w:trHeight w:val="4087"/>
        </w:trPr>
        <w:tc>
          <w:tcPr>
            <w:tcW w:w="4675" w:type="dxa"/>
            <w:vMerge w:val="restart"/>
            <w:tcBorders>
              <w:bottom w:val="single" w:sz="4" w:space="0" w:color="auto"/>
            </w:tcBorders>
          </w:tcPr>
          <w:p w14:paraId="6D036921" w14:textId="77777777" w:rsidR="00743287" w:rsidRDefault="00743287" w:rsidP="0028193B">
            <w:pPr>
              <w:pStyle w:val="ListParagraph"/>
            </w:pPr>
          </w:p>
          <w:p w14:paraId="36E507D5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>Add additional rows to sections of the budget as necessary.</w:t>
            </w:r>
          </w:p>
          <w:p w14:paraId="0B6A3F23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 xml:space="preserve">For multiple student assistants, create a combined total based on current hourly rate for student employees. The Budget Justification must include a description of each individual assistant and expected time and effort per individual assistant (e.g. X hours over Y period).  </w:t>
            </w:r>
          </w:p>
          <w:p w14:paraId="0604E381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>Allowable expenses for Travel are subject to current LU policy, accessible in the current LU Employee Guidebook (e.g. ground travel and per diem rates).</w:t>
            </w:r>
          </w:p>
          <w:p w14:paraId="049891C6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>Itemize Other Expenses by including quantity (“x ___ quantity”) when applicable.</w:t>
            </w:r>
          </w:p>
          <w:p w14:paraId="6C1D1E76" w14:textId="77777777" w:rsidR="00743287" w:rsidRDefault="00743287" w:rsidP="00743287">
            <w:pPr>
              <w:pStyle w:val="ListParagraph"/>
              <w:numPr>
                <w:ilvl w:val="0"/>
                <w:numId w:val="7"/>
              </w:numPr>
              <w:spacing w:before="60"/>
              <w:ind w:left="331"/>
              <w:contextualSpacing w:val="0"/>
            </w:pPr>
            <w:r>
              <w:t xml:space="preserve">Refer to the </w:t>
            </w:r>
            <w:hyperlink r:id="rId5" w:history="1">
              <w:r w:rsidRPr="004F5FA1">
                <w:rPr>
                  <w:rStyle w:val="Hyperlink"/>
                </w:rPr>
                <w:t>PRIDE Fund FAQ</w:t>
              </w:r>
            </w:hyperlink>
            <w:r>
              <w:t xml:space="preserve"> for additional information on expenses.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center"/>
          </w:tcPr>
          <w:p w14:paraId="34268449" w14:textId="77777777" w:rsidR="00743287" w:rsidRDefault="00743287" w:rsidP="0028193B">
            <w:r>
              <w:t>Allowable expenses include, but are not limited to:</w:t>
            </w:r>
          </w:p>
          <w:p w14:paraId="44ADC241" w14:textId="77777777" w:rsidR="00743287" w:rsidRDefault="00743287" w:rsidP="0028193B"/>
          <w:p w14:paraId="59021A5E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Cost of materials, supplies, or consumables directly connected with the project</w:t>
            </w:r>
            <w:r>
              <w:rPr>
                <w:i/>
              </w:rPr>
              <w:t>.</w:t>
            </w:r>
          </w:p>
          <w:p w14:paraId="40BA716C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New equipment necessary for the conduct of the project</w:t>
            </w:r>
            <w:r>
              <w:rPr>
                <w:i/>
              </w:rPr>
              <w:t>.</w:t>
            </w:r>
          </w:p>
          <w:p w14:paraId="4B9E1DF1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Student hourly support</w:t>
            </w:r>
            <w:r>
              <w:rPr>
                <w:i/>
              </w:rPr>
              <w:t>.</w:t>
            </w:r>
          </w:p>
          <w:p w14:paraId="0BEF7B00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Travel associated with project implementation and dissemination of results</w:t>
            </w:r>
            <w:r>
              <w:rPr>
                <w:i/>
              </w:rPr>
              <w:t>.</w:t>
            </w:r>
          </w:p>
          <w:p w14:paraId="7D4E574F" w14:textId="77777777" w:rsidR="00743287" w:rsidRPr="004F5FA1" w:rsidRDefault="00743287" w:rsidP="00743287">
            <w:pPr>
              <w:pStyle w:val="ListParagraph"/>
              <w:numPr>
                <w:ilvl w:val="1"/>
                <w:numId w:val="5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Costs related to events and partnership engagement</w:t>
            </w:r>
            <w:r>
              <w:rPr>
                <w:i/>
              </w:rPr>
              <w:t>.</w:t>
            </w:r>
          </w:p>
          <w:p w14:paraId="41786743" w14:textId="77777777" w:rsidR="00743287" w:rsidRDefault="00743287" w:rsidP="0028193B"/>
        </w:tc>
      </w:tr>
      <w:tr w:rsidR="00743287" w14:paraId="2DC57558" w14:textId="77777777" w:rsidTr="0028193B">
        <w:tc>
          <w:tcPr>
            <w:tcW w:w="4675" w:type="dxa"/>
            <w:vMerge/>
            <w:vAlign w:val="center"/>
          </w:tcPr>
          <w:p w14:paraId="7CCAA9A3" w14:textId="77777777" w:rsidR="00743287" w:rsidRDefault="00743287" w:rsidP="0028193B"/>
        </w:tc>
        <w:tc>
          <w:tcPr>
            <w:tcW w:w="4675" w:type="dxa"/>
            <w:vAlign w:val="center"/>
          </w:tcPr>
          <w:p w14:paraId="05DADA37" w14:textId="77777777" w:rsidR="00743287" w:rsidRDefault="00743287" w:rsidP="0028193B">
            <w:r>
              <w:t>Non-Allowable expenses include, but are not limited to:</w:t>
            </w:r>
          </w:p>
          <w:p w14:paraId="37F2172B" w14:textId="77777777" w:rsidR="00743287" w:rsidRDefault="00743287" w:rsidP="0028193B"/>
          <w:p w14:paraId="5D6FA662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Faculty or staff compensation</w:t>
            </w:r>
            <w:r>
              <w:rPr>
                <w:i/>
              </w:rPr>
              <w:t>.</w:t>
            </w:r>
          </w:p>
          <w:p w14:paraId="1F4EEEAC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General office supplies or materials</w:t>
            </w:r>
            <w:r>
              <w:rPr>
                <w:i/>
              </w:rPr>
              <w:t>.</w:t>
            </w:r>
          </w:p>
          <w:p w14:paraId="3226F3A2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Professional development, unless specifically necessary for the project</w:t>
            </w:r>
            <w:r>
              <w:rPr>
                <w:i/>
              </w:rPr>
              <w:t>.</w:t>
            </w:r>
          </w:p>
          <w:p w14:paraId="1B5D5BB4" w14:textId="77777777" w:rsidR="00743287" w:rsidRPr="004F5FA1" w:rsidRDefault="00743287" w:rsidP="00743287">
            <w:pPr>
              <w:pStyle w:val="ListParagraph"/>
              <w:numPr>
                <w:ilvl w:val="1"/>
                <w:numId w:val="6"/>
              </w:numPr>
              <w:ind w:left="526"/>
              <w:rPr>
                <w:i/>
              </w:rPr>
            </w:pPr>
            <w:r w:rsidRPr="004F5FA1">
              <w:rPr>
                <w:i/>
              </w:rPr>
              <w:t>General purpose computers, IT subscriptions, or leases</w:t>
            </w:r>
            <w:r>
              <w:rPr>
                <w:i/>
              </w:rPr>
              <w:t>.</w:t>
            </w:r>
          </w:p>
          <w:p w14:paraId="6793D7AA" w14:textId="77777777" w:rsidR="00743287" w:rsidRDefault="00743287" w:rsidP="0028193B"/>
        </w:tc>
      </w:tr>
    </w:tbl>
    <w:p w14:paraId="0B33699E" w14:textId="77777777" w:rsidR="00743287" w:rsidRPr="00743287" w:rsidRDefault="00743287" w:rsidP="00743287"/>
    <w:sectPr w:rsidR="00743287" w:rsidRPr="0074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4A2"/>
    <w:multiLevelType w:val="hybridMultilevel"/>
    <w:tmpl w:val="2B20C02C"/>
    <w:lvl w:ilvl="0" w:tplc="43266A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707A"/>
    <w:multiLevelType w:val="hybridMultilevel"/>
    <w:tmpl w:val="9856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F53"/>
    <w:multiLevelType w:val="hybridMultilevel"/>
    <w:tmpl w:val="CEBC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E9E"/>
    <w:multiLevelType w:val="hybridMultilevel"/>
    <w:tmpl w:val="ABAC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1EA3D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6CC2"/>
    <w:multiLevelType w:val="hybridMultilevel"/>
    <w:tmpl w:val="2D96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4F12"/>
    <w:multiLevelType w:val="hybridMultilevel"/>
    <w:tmpl w:val="3CC6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86823"/>
    <w:multiLevelType w:val="hybridMultilevel"/>
    <w:tmpl w:val="CE44A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0331402">
    <w:abstractNumId w:val="3"/>
  </w:num>
  <w:num w:numId="2" w16cid:durableId="1791778015">
    <w:abstractNumId w:val="0"/>
  </w:num>
  <w:num w:numId="3" w16cid:durableId="774710177">
    <w:abstractNumId w:val="5"/>
  </w:num>
  <w:num w:numId="4" w16cid:durableId="850342676">
    <w:abstractNumId w:val="6"/>
  </w:num>
  <w:num w:numId="5" w16cid:durableId="1297373809">
    <w:abstractNumId w:val="4"/>
  </w:num>
  <w:num w:numId="6" w16cid:durableId="1125389850">
    <w:abstractNumId w:val="1"/>
  </w:num>
  <w:num w:numId="7" w16cid:durableId="426124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54"/>
    <w:rsid w:val="00077D4B"/>
    <w:rsid w:val="000D271C"/>
    <w:rsid w:val="000D2C54"/>
    <w:rsid w:val="00131B0F"/>
    <w:rsid w:val="00142373"/>
    <w:rsid w:val="001D183B"/>
    <w:rsid w:val="00280EFE"/>
    <w:rsid w:val="00446660"/>
    <w:rsid w:val="00457B96"/>
    <w:rsid w:val="004C4236"/>
    <w:rsid w:val="00513447"/>
    <w:rsid w:val="005620D0"/>
    <w:rsid w:val="00593F1D"/>
    <w:rsid w:val="00743287"/>
    <w:rsid w:val="00752369"/>
    <w:rsid w:val="00796C01"/>
    <w:rsid w:val="007A08E5"/>
    <w:rsid w:val="00826B1F"/>
    <w:rsid w:val="00875E14"/>
    <w:rsid w:val="00924F47"/>
    <w:rsid w:val="00942334"/>
    <w:rsid w:val="0099073A"/>
    <w:rsid w:val="00A513E4"/>
    <w:rsid w:val="00B872AA"/>
    <w:rsid w:val="00C513D0"/>
    <w:rsid w:val="00CD7402"/>
    <w:rsid w:val="00D120C4"/>
    <w:rsid w:val="00D77F41"/>
    <w:rsid w:val="00E72EDE"/>
    <w:rsid w:val="00E932D6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1ED6"/>
  <w15:chartTrackingRefBased/>
  <w15:docId w15:val="{71AFF0FB-92B0-4F1A-972D-C9F2DCFF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C5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denwood.edu/academics/support-resources/office-of-institutional-effectiveness/research-and-compliance/research-innovation-partnership-lab/pride-fu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d72f08e-540a-4c68-905d-9e69c4d9c61e}" enabled="0" method="" siteId="{3d72f08e-540a-4c68-905d-9e69c4d9c6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2495</Characters>
  <Application>Microsoft Office Word</Application>
  <DocSecurity>0</DocSecurity>
  <Lines>155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Leary, Michael</dc:creator>
  <cp:keywords/>
  <dc:description/>
  <cp:lastModifiedBy>Wehmer-Callahan, Laura</cp:lastModifiedBy>
  <cp:revision>3</cp:revision>
  <dcterms:created xsi:type="dcterms:W3CDTF">2025-04-03T22:06:00Z</dcterms:created>
  <dcterms:modified xsi:type="dcterms:W3CDTF">2025-04-03T22:07:00Z</dcterms:modified>
</cp:coreProperties>
</file>